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6D3A" w14:textId="77777777" w:rsidR="00386098" w:rsidRPr="00386098" w:rsidRDefault="005D7D86" w:rsidP="00386098">
      <w:r>
        <w:rPr>
          <w:noProof/>
        </w:rPr>
        <mc:AlternateContent>
          <mc:Choice Requires="wps">
            <w:drawing>
              <wp:anchor distT="0" distB="0" distL="114300" distR="114300" simplePos="0" relativeHeight="251659264" behindDoc="0" locked="0" layoutInCell="1" allowOverlap="1" wp14:anchorId="7812055F" wp14:editId="66650DB6">
                <wp:simplePos x="0" y="0"/>
                <wp:positionH relativeFrom="column">
                  <wp:posOffset>2953910</wp:posOffset>
                </wp:positionH>
                <wp:positionV relativeFrom="paragraph">
                  <wp:posOffset>294199</wp:posOffset>
                </wp:positionV>
                <wp:extent cx="3904090" cy="1033670"/>
                <wp:effectExtent l="95250" t="38100" r="58420" b="1098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0" cy="1033670"/>
                        </a:xfrm>
                        <a:prstGeom prst="rect">
                          <a:avLst/>
                        </a:prstGeom>
                        <a:ln>
                          <a:solidFill>
                            <a:schemeClr val="bg1">
                              <a:lumMod val="85000"/>
                            </a:schemeClr>
                          </a:solidFill>
                          <a:headEnd/>
                          <a:tailEnd/>
                        </a:ln>
                        <a:effectLst>
                          <a:outerShdw blurRad="50800" dist="38100" dir="8100000" algn="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18F8E211" w14:textId="77777777" w:rsidR="00D73911" w:rsidRDefault="005D7D86" w:rsidP="005D7D86">
                            <w:pPr>
                              <w:jc w:val="center"/>
                              <w:rPr>
                                <w:sz w:val="24"/>
                                <w:szCs w:val="24"/>
                              </w:rPr>
                            </w:pPr>
                            <w:r w:rsidRPr="005D7D86">
                              <w:rPr>
                                <w:sz w:val="24"/>
                                <w:szCs w:val="24"/>
                              </w:rPr>
                              <w:t>817 21</w:t>
                            </w:r>
                            <w:r w:rsidRPr="005D7D86">
                              <w:rPr>
                                <w:sz w:val="24"/>
                                <w:szCs w:val="24"/>
                                <w:vertAlign w:val="superscript"/>
                              </w:rPr>
                              <w:t>st</w:t>
                            </w:r>
                            <w:r w:rsidRPr="005D7D86">
                              <w:rPr>
                                <w:sz w:val="24"/>
                                <w:szCs w:val="24"/>
                              </w:rPr>
                              <w:t xml:space="preserve"> Avenue, Tuscaloosa, Alabama 35401</w:t>
                            </w:r>
                            <w:r w:rsidRPr="005D7D86">
                              <w:rPr>
                                <w:sz w:val="24"/>
                                <w:szCs w:val="24"/>
                              </w:rPr>
                              <w:br/>
                              <w:t>205.310.7197</w:t>
                            </w:r>
                            <w:r w:rsidRPr="005D7D86">
                              <w:rPr>
                                <w:sz w:val="24"/>
                                <w:szCs w:val="24"/>
                              </w:rPr>
                              <w:br/>
                            </w:r>
                            <w:r w:rsidR="00D73911" w:rsidRPr="00D73911">
                              <w:rPr>
                                <w:sz w:val="24"/>
                                <w:szCs w:val="24"/>
                              </w:rPr>
                              <w:t>http://aomalabama.org</w:t>
                            </w:r>
                            <w:r w:rsidR="00D73911" w:rsidRPr="00D73911">
                              <w:rPr>
                                <w:sz w:val="24"/>
                                <w:szCs w:val="24"/>
                              </w:rPr>
                              <w:br/>
                              <w:t>https://www.facebook.com/aomalabama</w:t>
                            </w:r>
                          </w:p>
                          <w:p w14:paraId="1F05724E" w14:textId="77777777" w:rsidR="005D7D86" w:rsidRPr="005D7D86" w:rsidRDefault="005D7D86" w:rsidP="005D7D86">
                            <w:pPr>
                              <w:jc w:val="center"/>
                              <w:rPr>
                                <w:sz w:val="24"/>
                                <w:szCs w:val="24"/>
                              </w:rPr>
                            </w:pPr>
                            <w:r w:rsidRPr="005D7D8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6pt;margin-top:23.15pt;width:307.4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" fillcolor="white [3201]" strokecolor="#d8d8d8 [2732]" strokeweight="2pt">
                <v:shadow on="t" color="black" opacity="26214f" origin=".5,-.5" offset="-.74836mm,.74836mm"/>
                <v:textbox>
                  <w:txbxContent>
                    <w:p w:rsidR="00D73911" w:rsidRDefault="005D7D86" w:rsidP="005D7D86">
                      <w:pPr>
                        <w:jc w:val="center"/>
                        <w:rPr>
                          <w:sz w:val="24"/>
                          <w:szCs w:val="24"/>
                        </w:rPr>
                      </w:pPr>
                      <w:r w:rsidRPr="005D7D86">
                        <w:rPr>
                          <w:sz w:val="24"/>
                          <w:szCs w:val="24"/>
                        </w:rPr>
                        <w:t>817 21</w:t>
                      </w:r>
                      <w:r w:rsidRPr="005D7D86">
                        <w:rPr>
                          <w:sz w:val="24"/>
                          <w:szCs w:val="24"/>
                          <w:vertAlign w:val="superscript"/>
                        </w:rPr>
                        <w:t>st</w:t>
                      </w:r>
                      <w:r w:rsidRPr="005D7D86">
                        <w:rPr>
                          <w:sz w:val="24"/>
                          <w:szCs w:val="24"/>
                        </w:rPr>
                        <w:t xml:space="preserve"> Avenue, Tuscaloosa, Alabama 35401</w:t>
                      </w:r>
                      <w:r w:rsidRPr="005D7D86">
                        <w:rPr>
                          <w:sz w:val="24"/>
                          <w:szCs w:val="24"/>
                        </w:rPr>
                        <w:br/>
                        <w:t>205.310.7197</w:t>
                      </w:r>
                      <w:r w:rsidRPr="005D7D86">
                        <w:rPr>
                          <w:sz w:val="24"/>
                          <w:szCs w:val="24"/>
                        </w:rPr>
                        <w:br/>
                      </w:r>
                      <w:r w:rsidR="00D73911" w:rsidRPr="00D73911">
                        <w:rPr>
                          <w:sz w:val="24"/>
                          <w:szCs w:val="24"/>
                        </w:rPr>
                        <w:t>http://aomalabama.org</w:t>
                      </w:r>
                      <w:r w:rsidR="00D73911" w:rsidRPr="00D73911">
                        <w:rPr>
                          <w:sz w:val="24"/>
                          <w:szCs w:val="24"/>
                        </w:rPr>
                        <w:br/>
                        <w:t>https://www.facebook.com/aomalabama</w:t>
                      </w:r>
                    </w:p>
                    <w:p w:rsidR="005D7D86" w:rsidRPr="005D7D86" w:rsidRDefault="005D7D86" w:rsidP="005D7D86">
                      <w:pPr>
                        <w:jc w:val="center"/>
                        <w:rPr>
                          <w:sz w:val="24"/>
                          <w:szCs w:val="24"/>
                        </w:rPr>
                      </w:pPr>
                      <w:r w:rsidRPr="005D7D86">
                        <w:rPr>
                          <w:sz w:val="24"/>
                          <w:szCs w:val="24"/>
                        </w:rPr>
                        <w:t xml:space="preserve">          </w:t>
                      </w:r>
                    </w:p>
                  </w:txbxContent>
                </v:textbox>
              </v:shape>
            </w:pict>
          </mc:Fallback>
        </mc:AlternateContent>
      </w:r>
      <w:r w:rsidR="00F52C4B">
        <w:rPr>
          <w:noProof/>
        </w:rPr>
        <w:drawing>
          <wp:inline distT="0" distB="0" distL="0" distR="0" wp14:anchorId="4DCBF73A" wp14:editId="24D84C6E">
            <wp:extent cx="2602245" cy="1431235"/>
            <wp:effectExtent l="0" t="0" r="7620" b="0"/>
            <wp:docPr id="3" name="Picture 3" descr="http://aomalabama.org/wordpress/wp-content/uploads/2011/07/AMOA-log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omalabama.org/wordpress/wp-content/uploads/2011/07/AMOA-logo1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41" t="29560" r="13604" b="20551"/>
                    <a:stretch/>
                  </pic:blipFill>
                  <pic:spPr bwMode="auto">
                    <a:xfrm>
                      <a:off x="0" y="0"/>
                      <a:ext cx="2613648" cy="1437507"/>
                    </a:xfrm>
                    <a:prstGeom prst="rect">
                      <a:avLst/>
                    </a:prstGeom>
                    <a:noFill/>
                    <a:ln>
                      <a:noFill/>
                    </a:ln>
                    <a:extLst>
                      <a:ext uri="{53640926-AAD7-44d8-BBD7-CCE9431645EC}">
                        <a14:shadowObscured xmlns:a14="http://schemas.microsoft.com/office/drawing/2010/main"/>
                      </a:ext>
                    </a:extLst>
                  </pic:spPr>
                </pic:pic>
              </a:graphicData>
            </a:graphic>
          </wp:inline>
        </w:drawing>
      </w:r>
    </w:p>
    <w:p w14:paraId="1296275C" w14:textId="77777777" w:rsidR="00431FE6" w:rsidRPr="00907629" w:rsidRDefault="002971B6" w:rsidP="00431FE6">
      <w:pPr>
        <w:spacing w:after="0" w:line="240" w:lineRule="auto"/>
        <w:rPr>
          <w:rFonts w:ascii="Chisel" w:hAnsi="Chisel"/>
          <w:sz w:val="28"/>
          <w:szCs w:val="28"/>
          <w:u w:val="single"/>
        </w:rPr>
      </w:pPr>
      <w:r w:rsidRPr="00907629">
        <w:rPr>
          <w:rFonts w:ascii="Chisel" w:hAnsi="Chisel"/>
          <w:sz w:val="28"/>
          <w:szCs w:val="28"/>
          <w:u w:val="single"/>
        </w:rPr>
        <w:t>What is a</w:t>
      </w:r>
      <w:r w:rsidR="00431FE6" w:rsidRPr="00907629">
        <w:rPr>
          <w:rFonts w:ascii="Chisel" w:hAnsi="Chisel"/>
          <w:sz w:val="28"/>
          <w:szCs w:val="28"/>
          <w:u w:val="single"/>
        </w:rPr>
        <w:t>cupuncture?</w:t>
      </w:r>
    </w:p>
    <w:p w14:paraId="2570AD5F" w14:textId="77777777" w:rsidR="00431FE6" w:rsidRPr="00C67F36" w:rsidRDefault="00431FE6" w:rsidP="00C67F36">
      <w:pPr>
        <w:pStyle w:val="ListParagraph"/>
        <w:numPr>
          <w:ilvl w:val="0"/>
          <w:numId w:val="3"/>
        </w:numPr>
        <w:spacing w:after="120" w:line="240" w:lineRule="auto"/>
        <w:ind w:left="720"/>
        <w:rPr>
          <w:rFonts w:cs="Calibri"/>
          <w:bCs/>
          <w:vertAlign w:val="superscript"/>
        </w:rPr>
      </w:pPr>
      <w:r w:rsidRPr="00C67F36">
        <w:rPr>
          <w:rFonts w:cs="Calibri"/>
        </w:rPr>
        <w:t>The Agency for Healthcare Research and Quality (AHRQ), a division of the National Institutes of H</w:t>
      </w:r>
      <w:r w:rsidR="00447383">
        <w:rPr>
          <w:rFonts w:cs="Calibri"/>
        </w:rPr>
        <w:t>ealth, defines acupuncture as</w:t>
      </w:r>
      <w:r w:rsidR="00C67F36">
        <w:rPr>
          <w:rFonts w:cs="Calibri"/>
        </w:rPr>
        <w:t xml:space="preserve"> </w:t>
      </w:r>
      <w:r w:rsidRPr="00C67F36">
        <w:rPr>
          <w:rFonts w:cs="Calibri"/>
        </w:rPr>
        <w:t>“the insertion of dry needles at specially chosen sites for the treatment or prevention of symptoms and conditions.”</w:t>
      </w:r>
      <w:r w:rsidR="006C5D83">
        <w:rPr>
          <w:rFonts w:cs="Calibri"/>
          <w:vertAlign w:val="superscript"/>
        </w:rPr>
        <w:t>1</w:t>
      </w:r>
      <w:r w:rsidRPr="00C67F36">
        <w:rPr>
          <w:rFonts w:cs="Calibri"/>
          <w:bCs/>
        </w:rPr>
        <w:t xml:space="preserve"> </w:t>
      </w:r>
      <w:r w:rsidRPr="00C67F36">
        <w:rPr>
          <w:rFonts w:cs="Calibri"/>
        </w:rPr>
        <w:t>Acupuncture literally means to puncture with a needle.</w:t>
      </w:r>
      <w:r w:rsidR="006C5D83">
        <w:rPr>
          <w:rFonts w:cs="Calibri"/>
          <w:vertAlign w:val="superscript"/>
        </w:rPr>
        <w:t>2</w:t>
      </w:r>
      <w:r w:rsidRPr="00C67F36">
        <w:rPr>
          <w:rFonts w:cs="Calibri"/>
        </w:rPr>
        <w:t xml:space="preserve"> Acupuncture can be defined to include traditional body needling, electric acupuncture (electro-acupuncture), and</w:t>
      </w:r>
      <w:r w:rsidRPr="00C67F36">
        <w:rPr>
          <w:rFonts w:cs="Calibri"/>
          <w:color w:val="FF0000"/>
        </w:rPr>
        <w:t xml:space="preserve"> </w:t>
      </w:r>
      <w:r w:rsidRPr="00C67F36">
        <w:rPr>
          <w:rFonts w:cs="Calibri"/>
        </w:rPr>
        <w:t>microsystem acupuncture such as ear (auricular), face, hand and scalp acupuncture.</w:t>
      </w:r>
      <w:r w:rsidR="006C5D83">
        <w:rPr>
          <w:rFonts w:cs="Calibri"/>
          <w:vertAlign w:val="superscript"/>
        </w:rPr>
        <w:t>3</w:t>
      </w:r>
      <w:r w:rsidRPr="00C67F36">
        <w:rPr>
          <w:rFonts w:cs="Calibri"/>
          <w:vertAlign w:val="superscript"/>
        </w:rPr>
        <w:t xml:space="preserve"> </w:t>
      </w:r>
      <w:r w:rsidRPr="00C67F36">
        <w:rPr>
          <w:rFonts w:cs="Calibri"/>
          <w:bCs/>
        </w:rPr>
        <w:t>Thus, Acupuncture becomes a system of medicine that utilizes needles to achieve therapeutic effect.</w:t>
      </w:r>
      <w:r w:rsidR="006C5D83">
        <w:rPr>
          <w:rFonts w:cs="Calibri"/>
          <w:bCs/>
          <w:vertAlign w:val="superscript"/>
        </w:rPr>
        <w:t>4</w:t>
      </w:r>
    </w:p>
    <w:p w14:paraId="6EB7CAC9" w14:textId="77777777" w:rsidR="00431FE6" w:rsidRPr="00907629" w:rsidRDefault="00431FE6" w:rsidP="00431FE6">
      <w:pPr>
        <w:spacing w:after="120" w:line="240" w:lineRule="auto"/>
        <w:rPr>
          <w:rFonts w:ascii="Chisel" w:hAnsi="Chisel" w:cs="Calibri"/>
          <w:bCs/>
          <w:sz w:val="28"/>
          <w:szCs w:val="28"/>
          <w:u w:val="single"/>
        </w:rPr>
      </w:pPr>
      <w:r w:rsidRPr="00907629">
        <w:rPr>
          <w:rFonts w:ascii="Chisel" w:hAnsi="Chisel" w:cs="Calibri"/>
          <w:bCs/>
          <w:sz w:val="28"/>
          <w:szCs w:val="28"/>
          <w:u w:val="single"/>
        </w:rPr>
        <w:t>Wh</w:t>
      </w:r>
      <w:r w:rsidR="002971B6" w:rsidRPr="00907629">
        <w:rPr>
          <w:rFonts w:ascii="Chisel" w:hAnsi="Chisel" w:cs="Calibri"/>
          <w:bCs/>
          <w:sz w:val="28"/>
          <w:szCs w:val="28"/>
          <w:u w:val="single"/>
        </w:rPr>
        <w:t>o uses a</w:t>
      </w:r>
      <w:r w:rsidRPr="00907629">
        <w:rPr>
          <w:rFonts w:ascii="Chisel" w:hAnsi="Chisel" w:cs="Calibri"/>
          <w:bCs/>
          <w:sz w:val="28"/>
          <w:szCs w:val="28"/>
          <w:u w:val="single"/>
        </w:rPr>
        <w:t>cupuncture?</w:t>
      </w:r>
    </w:p>
    <w:p w14:paraId="1BEB607B" w14:textId="77777777" w:rsidR="00C67F36" w:rsidRDefault="00C67F36" w:rsidP="00C67F36">
      <w:pPr>
        <w:pStyle w:val="ListParagraph"/>
        <w:numPr>
          <w:ilvl w:val="0"/>
          <w:numId w:val="2"/>
        </w:numPr>
        <w:autoSpaceDE w:val="0"/>
        <w:autoSpaceDN w:val="0"/>
        <w:adjustRightInd w:val="0"/>
        <w:spacing w:after="0" w:line="240" w:lineRule="auto"/>
        <w:rPr>
          <w:rFonts w:eastAsia="MinionPro-Regular" w:cs="MinionPro-Regular"/>
          <w:vertAlign w:val="superscript"/>
        </w:rPr>
      </w:pPr>
      <w:r w:rsidRPr="00C67F36">
        <w:rPr>
          <w:rFonts w:eastAsia="MinionPro-Regular" w:cs="MinionPro-Regular"/>
        </w:rPr>
        <w:t xml:space="preserve">Traditional acupuncture has become popular in the United States and the rest of the world in recent decades. Data released by the National Institutes of Health (NIH) in 2008 reported that 3.1 million American adults and 150,000 children used acupuncture in 2007. Adult use of acupuncture has increased by approximately a million people in the five years from 2002 to 2007. </w:t>
      </w:r>
      <w:r w:rsidR="0040775B">
        <w:rPr>
          <w:rFonts w:eastAsia="MinionPro-Regular" w:cs="MinionPro-Regular"/>
          <w:vertAlign w:val="superscript"/>
        </w:rPr>
        <w:t>5</w:t>
      </w:r>
    </w:p>
    <w:p w14:paraId="2FE1120C" w14:textId="77777777" w:rsidR="00C67F36" w:rsidRPr="00447383" w:rsidRDefault="00C67F36" w:rsidP="00447383">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MinionPro-Regular" w:cs="MinionPro-Regular"/>
        </w:rPr>
        <w:t xml:space="preserve">Generally, educated people who are proactive with their health care needs. Acupuncture is no longer considered “alternative” but is accepted within the medical profession as “integrative” health care.  Mayo Clinic </w:t>
      </w:r>
      <w:r w:rsidR="00447383">
        <w:rPr>
          <w:rFonts w:eastAsia="MinionPro-Regular" w:cs="MinionPro-Regular"/>
        </w:rPr>
        <w:t>advises</w:t>
      </w:r>
      <w:r>
        <w:rPr>
          <w:rFonts w:eastAsia="MinionPro-Regular" w:cs="MinionPro-Regular"/>
        </w:rPr>
        <w:t>:</w:t>
      </w:r>
      <w:r w:rsidR="00447383">
        <w:rPr>
          <w:rFonts w:eastAsia="MinionPro-Regular" w:cs="MinionPro-Regular"/>
        </w:rPr>
        <w:t xml:space="preserve">  </w:t>
      </w:r>
      <w:r w:rsidR="00447383" w:rsidRPr="00F62A1A">
        <w:t>“You may try acupuncture for symptomatic relief of a variety of diseases and conditions, including: c</w:t>
      </w:r>
      <w:r w:rsidR="00447383" w:rsidRPr="00C21248">
        <w:rPr>
          <w:rFonts w:eastAsia="Times New Roman" w:cs="Times New Roman"/>
        </w:rPr>
        <w:t xml:space="preserve">hemotherapy-induced nausea and vomiting </w:t>
      </w:r>
      <w:r w:rsidR="00447383" w:rsidRPr="00F62A1A">
        <w:t>, f</w:t>
      </w:r>
      <w:r w:rsidR="00447383" w:rsidRPr="00C21248">
        <w:rPr>
          <w:rFonts w:eastAsia="Times New Roman" w:cs="Times New Roman"/>
        </w:rPr>
        <w:t xml:space="preserve">ibromyalgia </w:t>
      </w:r>
      <w:r w:rsidR="00447383" w:rsidRPr="00F62A1A">
        <w:t>, headaches, l</w:t>
      </w:r>
      <w:r w:rsidR="00447383" w:rsidRPr="00C21248">
        <w:rPr>
          <w:rFonts w:eastAsia="Times New Roman" w:cs="Times New Roman"/>
        </w:rPr>
        <w:t xml:space="preserve">abor pain </w:t>
      </w:r>
      <w:r w:rsidR="00447383" w:rsidRPr="00F62A1A">
        <w:t>, l</w:t>
      </w:r>
      <w:r w:rsidR="00447383" w:rsidRPr="00C21248">
        <w:rPr>
          <w:rFonts w:eastAsia="Times New Roman" w:cs="Times New Roman"/>
        </w:rPr>
        <w:t>ow back pain</w:t>
      </w:r>
      <w:r w:rsidR="00447383" w:rsidRPr="00F62A1A">
        <w:t>, menstrual cramps, migraines, o</w:t>
      </w:r>
      <w:r w:rsidR="00447383" w:rsidRPr="00C21248">
        <w:rPr>
          <w:rFonts w:eastAsia="Times New Roman" w:cs="Times New Roman"/>
        </w:rPr>
        <w:t xml:space="preserve">steoarthritis </w:t>
      </w:r>
      <w:r w:rsidR="00447383" w:rsidRPr="00F62A1A">
        <w:t>, d</w:t>
      </w:r>
      <w:r w:rsidR="00447383" w:rsidRPr="00C21248">
        <w:rPr>
          <w:rFonts w:eastAsia="Times New Roman" w:cs="Times New Roman"/>
        </w:rPr>
        <w:t xml:space="preserve">ental pain </w:t>
      </w:r>
      <w:r w:rsidR="00447383" w:rsidRPr="00F62A1A">
        <w:t>; t</w:t>
      </w:r>
      <w:r w:rsidR="00447383" w:rsidRPr="00C21248">
        <w:rPr>
          <w:rFonts w:eastAsia="Times New Roman" w:cs="Times New Roman"/>
        </w:rPr>
        <w:t>ennis elbow</w:t>
      </w:r>
      <w:r w:rsidR="00447383" w:rsidRPr="00F62A1A">
        <w:t>.</w:t>
      </w:r>
      <w:r w:rsidR="0040775B">
        <w:rPr>
          <w:vertAlign w:val="superscript"/>
        </w:rPr>
        <w:t>6</w:t>
      </w:r>
      <w:r w:rsidR="00447383" w:rsidRPr="00F62A1A">
        <w:rPr>
          <w:rFonts w:eastAsia="Times New Roman" w:cs="Times New Roman"/>
        </w:rPr>
        <w:t>”</w:t>
      </w:r>
    </w:p>
    <w:p w14:paraId="687E1526" w14:textId="77777777" w:rsidR="00447383" w:rsidRPr="00907629" w:rsidRDefault="00447383" w:rsidP="00447383">
      <w:pPr>
        <w:autoSpaceDE w:val="0"/>
        <w:autoSpaceDN w:val="0"/>
        <w:adjustRightInd w:val="0"/>
        <w:spacing w:after="120" w:line="240" w:lineRule="auto"/>
        <w:rPr>
          <w:rFonts w:ascii="Chisel" w:eastAsia="MinionPro-Regular" w:hAnsi="Chisel" w:cs="MinionPro-Regular"/>
          <w:sz w:val="28"/>
          <w:szCs w:val="28"/>
          <w:u w:val="single"/>
        </w:rPr>
      </w:pPr>
      <w:r w:rsidRPr="00907629">
        <w:rPr>
          <w:rFonts w:ascii="Chisel" w:eastAsia="MinionPro-Regular" w:hAnsi="Chisel" w:cs="MinionPro-Regular"/>
          <w:sz w:val="28"/>
          <w:szCs w:val="28"/>
          <w:u w:val="single"/>
        </w:rPr>
        <w:t xml:space="preserve">Is </w:t>
      </w:r>
      <w:r w:rsidR="002971B6" w:rsidRPr="00907629">
        <w:rPr>
          <w:rFonts w:ascii="Chisel" w:eastAsia="MinionPro-Regular" w:hAnsi="Chisel" w:cs="MinionPro-Regular"/>
          <w:sz w:val="28"/>
          <w:szCs w:val="28"/>
          <w:u w:val="single"/>
        </w:rPr>
        <w:t>acupuncture s</w:t>
      </w:r>
      <w:r w:rsidRPr="00907629">
        <w:rPr>
          <w:rFonts w:ascii="Chisel" w:eastAsia="MinionPro-Regular" w:hAnsi="Chisel" w:cs="MinionPro-Regular"/>
          <w:sz w:val="28"/>
          <w:szCs w:val="28"/>
          <w:u w:val="single"/>
        </w:rPr>
        <w:t>afe?</w:t>
      </w:r>
    </w:p>
    <w:p w14:paraId="47FE34E3" w14:textId="77777777" w:rsidR="00447383" w:rsidRDefault="00447383" w:rsidP="00447383">
      <w:pPr>
        <w:pStyle w:val="ListParagraph"/>
        <w:numPr>
          <w:ilvl w:val="0"/>
          <w:numId w:val="2"/>
        </w:numPr>
        <w:autoSpaceDE w:val="0"/>
        <w:autoSpaceDN w:val="0"/>
        <w:adjustRightInd w:val="0"/>
        <w:spacing w:after="120" w:line="240" w:lineRule="auto"/>
        <w:rPr>
          <w:rFonts w:eastAsia="MinionPro-Regular" w:cs="MinionPro-Regular"/>
          <w:vertAlign w:val="superscript"/>
        </w:rPr>
      </w:pPr>
      <w:r w:rsidRPr="00447383">
        <w:rPr>
          <w:rFonts w:eastAsia="MinionPro-Regular" w:cs="MinionPro-Regular"/>
        </w:rPr>
        <w:t xml:space="preserve">The </w:t>
      </w:r>
      <w:r>
        <w:rPr>
          <w:rFonts w:eastAsia="MinionPro-Regular" w:cs="MinionPro-Regular"/>
        </w:rPr>
        <w:t xml:space="preserve">National Center for Complementary and Alternative Medicine reports: “Relatively few complications have been reported from the use of acupuncture. However, acupuncture can cause potentially serious side effects if not delivered by a </w:t>
      </w:r>
      <w:r w:rsidRPr="002971B6">
        <w:rPr>
          <w:rFonts w:eastAsia="MinionPro-Regular" w:cs="MinionPro-Regular"/>
          <w:b/>
        </w:rPr>
        <w:t>qualified</w:t>
      </w:r>
      <w:r>
        <w:rPr>
          <w:rFonts w:eastAsia="MinionPro-Regular" w:cs="MinionPro-Regular"/>
        </w:rPr>
        <w:t xml:space="preserve"> practitioner.”</w:t>
      </w:r>
      <w:r w:rsidR="0040775B">
        <w:rPr>
          <w:rFonts w:eastAsia="MinionPro-Regular" w:cs="MinionPro-Regular"/>
          <w:vertAlign w:val="superscript"/>
        </w:rPr>
        <w:t>7</w:t>
      </w:r>
    </w:p>
    <w:p w14:paraId="7E3FB962" w14:textId="77777777" w:rsidR="00B417BC" w:rsidRPr="00B417BC" w:rsidRDefault="002971B6" w:rsidP="00B417BC">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MinionPro-Regular" w:cs="MinionPro-Regular"/>
        </w:rPr>
        <w:t xml:space="preserve">The World Health Organization says: </w:t>
      </w:r>
      <w:r w:rsidRPr="00A463AC">
        <w:rPr>
          <w:rFonts w:cs="Calibri"/>
          <w:i/>
        </w:rPr>
        <w:t>“</w:t>
      </w:r>
      <w:r w:rsidRPr="002971B6">
        <w:rPr>
          <w:rFonts w:cs="Calibri"/>
        </w:rPr>
        <w:t xml:space="preserve">In </w:t>
      </w:r>
      <w:r w:rsidRPr="002971B6">
        <w:rPr>
          <w:rFonts w:cs="Calibri"/>
          <w:b/>
        </w:rPr>
        <w:t>competent</w:t>
      </w:r>
      <w:r w:rsidRPr="002971B6">
        <w:rPr>
          <w:rFonts w:cs="Calibri"/>
        </w:rPr>
        <w:t xml:space="preserve"> hands, acupuncture is generally a safe procedure with few contraindications or complication</w:t>
      </w:r>
      <w:r w:rsidR="00B417BC">
        <w:rPr>
          <w:rFonts w:cs="Calibri"/>
        </w:rPr>
        <w:t xml:space="preserve">s… </w:t>
      </w:r>
      <w:r w:rsidR="00B417BC" w:rsidRPr="00B417BC">
        <w:rPr>
          <w:rFonts w:cs="Calibri"/>
          <w:b/>
        </w:rPr>
        <w:t>There are the risks due to inadequate training of the acupuncturist</w:t>
      </w:r>
      <w:r w:rsidR="00B417BC" w:rsidRPr="00B417BC">
        <w:rPr>
          <w:rFonts w:cs="Calibri"/>
          <w:i/>
        </w:rPr>
        <w:t xml:space="preserve">. </w:t>
      </w:r>
      <w:r w:rsidR="00B417BC" w:rsidRPr="00B417BC">
        <w:rPr>
          <w:rFonts w:cs="Calibri"/>
        </w:rPr>
        <w:t>These include inappropriate selection of patients, errors of technique, and failure to recognize contraindications and complications, or to deal with emergencies when they arise</w:t>
      </w:r>
      <w:r w:rsidR="00B417BC">
        <w:rPr>
          <w:rFonts w:cs="Calibri"/>
        </w:rPr>
        <w:t>.”</w:t>
      </w:r>
      <w:r w:rsidR="0040775B">
        <w:rPr>
          <w:rFonts w:cs="Calibri"/>
          <w:vertAlign w:val="superscript"/>
        </w:rPr>
        <w:t>8</w:t>
      </w:r>
    </w:p>
    <w:p w14:paraId="6DB7EB65" w14:textId="77777777" w:rsidR="00B417BC" w:rsidRPr="00907629" w:rsidRDefault="00B417BC" w:rsidP="00B417BC">
      <w:pPr>
        <w:autoSpaceDE w:val="0"/>
        <w:autoSpaceDN w:val="0"/>
        <w:adjustRightInd w:val="0"/>
        <w:spacing w:after="120" w:line="240" w:lineRule="auto"/>
        <w:rPr>
          <w:rFonts w:ascii="Chisel" w:eastAsia="MinionPro-Regular" w:hAnsi="Chisel" w:cs="MinionPro-Regular"/>
          <w:sz w:val="28"/>
          <w:szCs w:val="28"/>
          <w:u w:val="single"/>
        </w:rPr>
      </w:pPr>
      <w:r w:rsidRPr="00907629">
        <w:rPr>
          <w:rFonts w:ascii="Chisel" w:eastAsia="MinionPro-Regular" w:hAnsi="Chisel" w:cs="MinionPro-Regular"/>
          <w:sz w:val="28"/>
          <w:szCs w:val="28"/>
          <w:u w:val="single"/>
        </w:rPr>
        <w:t>What safe practice standards does the AOMA advocate?</w:t>
      </w:r>
    </w:p>
    <w:p w14:paraId="43CE7934" w14:textId="77777777" w:rsidR="00B417BC" w:rsidRPr="00B417BC" w:rsidRDefault="00B417BC" w:rsidP="00B417BC">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cs="Calibri"/>
        </w:rPr>
        <w:t xml:space="preserve">Graduation from a formal, full-time acupuncture program of at least three years duration that has been </w:t>
      </w:r>
      <w:proofErr w:type="spellStart"/>
      <w:r w:rsidR="00C33D57">
        <w:rPr>
          <w:rFonts w:cs="Calibri"/>
        </w:rPr>
        <w:t>accred-it</w:t>
      </w:r>
      <w:r>
        <w:rPr>
          <w:rFonts w:cs="Calibri"/>
        </w:rPr>
        <w:t>ed</w:t>
      </w:r>
      <w:proofErr w:type="spellEnd"/>
      <w:r>
        <w:rPr>
          <w:rFonts w:cs="Calibri"/>
        </w:rPr>
        <w:t xml:space="preserve"> or is in candidacy for accreditation by the Accreditation Commission for Acupuncture and Oriental Medicine (ACAOM). </w:t>
      </w:r>
      <w:r w:rsidRPr="00B417BC">
        <w:rPr>
          <w:rFonts w:eastAsia="Times New Roman"/>
        </w:rPr>
        <w:t>The ACAOM is the only accrediting body recognized by the United States Department of Education as the authority for quality education and training in acupuncture and Oriental medicine. ACAOM requires 1,905 hours of entry-level acupuncture education (2,175 hours if the degree is in Oriental medicine) for accreditation.</w:t>
      </w:r>
    </w:p>
    <w:p w14:paraId="630C8EF0" w14:textId="77777777" w:rsidR="00B417BC" w:rsidRPr="00B417BC" w:rsidRDefault="00B417BC" w:rsidP="00B417BC">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Times New Roman"/>
        </w:rPr>
        <w:t xml:space="preserve">Passage of </w:t>
      </w:r>
      <w:r w:rsidRPr="00B417BC">
        <w:rPr>
          <w:rFonts w:eastAsia="Times New Roman"/>
        </w:rPr>
        <w:t xml:space="preserve">certification examinations in Foundations of Oriental Medicine, Acupuncture, and Biomedicine. </w:t>
      </w:r>
      <w:proofErr w:type="gramStart"/>
      <w:r w:rsidRPr="00B417BC">
        <w:rPr>
          <w:rFonts w:eastAsia="Times New Roman"/>
        </w:rPr>
        <w:t>administered</w:t>
      </w:r>
      <w:proofErr w:type="gramEnd"/>
      <w:r w:rsidRPr="00B417BC">
        <w:rPr>
          <w:rFonts w:eastAsia="Times New Roman"/>
        </w:rPr>
        <w:t xml:space="preserve"> by the National Certification Commission for Acupuncture and Oriental Medicine (NCCAOM)</w:t>
      </w:r>
      <w:r w:rsidR="00907629">
        <w:rPr>
          <w:rFonts w:eastAsia="Times New Roman"/>
        </w:rPr>
        <w:t xml:space="preserve"> or equivalent</w:t>
      </w:r>
      <w:r w:rsidRPr="00B417BC">
        <w:rPr>
          <w:rFonts w:eastAsia="Times New Roman"/>
        </w:rPr>
        <w:t>.</w:t>
      </w:r>
    </w:p>
    <w:p w14:paraId="73D47F3A" w14:textId="56FDB26F" w:rsidR="00B417BC" w:rsidRPr="00B417BC" w:rsidRDefault="00B417BC" w:rsidP="00B417BC">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Times New Roman"/>
        </w:rPr>
        <w:t xml:space="preserve">Adherence to </w:t>
      </w:r>
      <w:r w:rsidR="00C01FFC">
        <w:rPr>
          <w:rFonts w:eastAsia="Times New Roman"/>
        </w:rPr>
        <w:t xml:space="preserve">a </w:t>
      </w:r>
      <w:r>
        <w:rPr>
          <w:rFonts w:eastAsia="Times New Roman"/>
        </w:rPr>
        <w:t>code of ethics.</w:t>
      </w:r>
    </w:p>
    <w:p w14:paraId="3A21BF71" w14:textId="77777777" w:rsidR="00B417BC" w:rsidRPr="00B417BC" w:rsidRDefault="00B417BC" w:rsidP="00B417BC">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Times New Roman"/>
        </w:rPr>
        <w:t>Completion of separate courses in Clean Needle Technique and CPR.</w:t>
      </w:r>
    </w:p>
    <w:p w14:paraId="3BBA3721" w14:textId="77777777" w:rsidR="002971B6" w:rsidRPr="00907629" w:rsidRDefault="002971B6" w:rsidP="002971B6">
      <w:pPr>
        <w:autoSpaceDE w:val="0"/>
        <w:autoSpaceDN w:val="0"/>
        <w:adjustRightInd w:val="0"/>
        <w:spacing w:after="120" w:line="240" w:lineRule="auto"/>
        <w:rPr>
          <w:rFonts w:ascii="Chisel" w:eastAsia="MinionPro-Regular" w:hAnsi="Chisel" w:cs="MinionPro-Regular"/>
          <w:sz w:val="28"/>
          <w:szCs w:val="28"/>
          <w:u w:val="single"/>
        </w:rPr>
      </w:pPr>
      <w:r w:rsidRPr="00907629">
        <w:rPr>
          <w:rFonts w:ascii="Chisel" w:eastAsia="MinionPro-Regular" w:hAnsi="Chisel" w:cs="MinionPro-Regular"/>
          <w:sz w:val="28"/>
          <w:szCs w:val="28"/>
          <w:u w:val="single"/>
        </w:rPr>
        <w:t xml:space="preserve">Why do we need to </w:t>
      </w:r>
      <w:r w:rsidRPr="00907629">
        <w:rPr>
          <w:rFonts w:ascii="Chisel" w:hAnsi="Chisel"/>
          <w:sz w:val="28"/>
          <w:szCs w:val="28"/>
          <w:u w:val="single"/>
        </w:rPr>
        <w:t>enact legislation to regulate acupuncture practice</w:t>
      </w:r>
      <w:r w:rsidRPr="00907629">
        <w:rPr>
          <w:rFonts w:ascii="Chisel" w:eastAsia="MinionPro-Regular" w:hAnsi="Chisel" w:cs="MinionPro-Regular"/>
          <w:sz w:val="28"/>
          <w:szCs w:val="28"/>
          <w:u w:val="single"/>
        </w:rPr>
        <w:t>?</w:t>
      </w:r>
    </w:p>
    <w:p w14:paraId="71E1C819" w14:textId="7A277BCA" w:rsidR="00C33D57" w:rsidRPr="004342BA" w:rsidRDefault="002971B6" w:rsidP="00C33D57">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MinionPro-Regular" w:cs="MinionPro-Regular"/>
        </w:rPr>
        <w:t>To ensure safe practice of acupuncture for the citizens of Al</w:t>
      </w:r>
      <w:r w:rsidR="004342BA">
        <w:rPr>
          <w:rFonts w:eastAsia="MinionPro-Regular" w:cs="MinionPro-Regular"/>
        </w:rPr>
        <w:t>abama.</w:t>
      </w:r>
    </w:p>
    <w:p w14:paraId="42EC82B3" w14:textId="3B57DFB0" w:rsidR="004342BA" w:rsidRPr="00C33D57" w:rsidRDefault="004342BA" w:rsidP="00C33D57">
      <w:pPr>
        <w:pStyle w:val="ListParagraph"/>
        <w:numPr>
          <w:ilvl w:val="0"/>
          <w:numId w:val="2"/>
        </w:numPr>
        <w:autoSpaceDE w:val="0"/>
        <w:autoSpaceDN w:val="0"/>
        <w:adjustRightInd w:val="0"/>
        <w:spacing w:after="120" w:line="240" w:lineRule="auto"/>
        <w:rPr>
          <w:rFonts w:eastAsia="MinionPro-Regular" w:cs="MinionPro-Regular"/>
          <w:vertAlign w:val="superscript"/>
        </w:rPr>
      </w:pPr>
      <w:r>
        <w:rPr>
          <w:rFonts w:eastAsia="MinionPro-Regular" w:cs="MinionPro-Regular"/>
        </w:rPr>
        <w:t>44 states and DC</w:t>
      </w:r>
      <w:bookmarkStart w:id="0" w:name="_GoBack"/>
      <w:bookmarkEnd w:id="0"/>
      <w:r>
        <w:rPr>
          <w:rFonts w:eastAsia="MinionPro-Regular" w:cs="MinionPro-Regular"/>
        </w:rPr>
        <w:t xml:space="preserve"> have regulating boards, including every southern state.</w:t>
      </w:r>
    </w:p>
    <w:p w14:paraId="7DC6627C" w14:textId="77777777" w:rsidR="0040775B" w:rsidRPr="00C33D57" w:rsidRDefault="0040775B" w:rsidP="00C33D57">
      <w:pPr>
        <w:autoSpaceDE w:val="0"/>
        <w:autoSpaceDN w:val="0"/>
        <w:adjustRightInd w:val="0"/>
        <w:spacing w:after="120" w:line="240" w:lineRule="auto"/>
        <w:ind w:left="360"/>
        <w:rPr>
          <w:rFonts w:eastAsia="MinionPro-Regular" w:cs="MinionPro-Regular"/>
          <w:vertAlign w:val="superscript"/>
        </w:rPr>
      </w:pPr>
      <w:r w:rsidRPr="00C33D57">
        <w:rPr>
          <w:rFonts w:eastAsia="MinionPro-Regular" w:cs="MinionPro-Regular"/>
          <w:i/>
          <w:sz w:val="20"/>
          <w:szCs w:val="20"/>
        </w:rPr>
        <w:t>For sources cited, please see back.</w:t>
      </w:r>
    </w:p>
    <w:p w14:paraId="3EBD358B" w14:textId="77777777" w:rsidR="0040775B" w:rsidRDefault="0040775B" w:rsidP="006C5D83">
      <w:pPr>
        <w:shd w:val="clear" w:color="auto" w:fill="FFFFFF"/>
        <w:spacing w:after="0" w:line="240" w:lineRule="auto"/>
        <w:ind w:left="720" w:hanging="720"/>
        <w:rPr>
          <w:rFonts w:cs="Calibri"/>
          <w:color w:val="2A2A2A"/>
          <w:sz w:val="20"/>
          <w:szCs w:val="20"/>
        </w:rPr>
      </w:pPr>
    </w:p>
    <w:p w14:paraId="7BBBF121" w14:textId="77777777" w:rsidR="0040775B" w:rsidRDefault="0040775B" w:rsidP="006C5D83">
      <w:pPr>
        <w:shd w:val="clear" w:color="auto" w:fill="FFFFFF"/>
        <w:spacing w:after="0" w:line="240" w:lineRule="auto"/>
        <w:ind w:left="720" w:hanging="720"/>
        <w:rPr>
          <w:rFonts w:cs="Calibri"/>
          <w:color w:val="2A2A2A"/>
          <w:sz w:val="20"/>
          <w:szCs w:val="20"/>
        </w:rPr>
      </w:pPr>
    </w:p>
    <w:p w14:paraId="741E84CF" w14:textId="77777777" w:rsidR="0040775B" w:rsidRDefault="0040775B" w:rsidP="006C5D83">
      <w:pPr>
        <w:shd w:val="clear" w:color="auto" w:fill="FFFFFF"/>
        <w:spacing w:after="0" w:line="240" w:lineRule="auto"/>
        <w:ind w:left="720" w:hanging="720"/>
        <w:rPr>
          <w:rFonts w:cs="Calibri"/>
          <w:color w:val="2A2A2A"/>
          <w:sz w:val="20"/>
          <w:szCs w:val="20"/>
        </w:rPr>
      </w:pPr>
    </w:p>
    <w:p w14:paraId="51D9E2EC" w14:textId="77777777" w:rsidR="0040775B" w:rsidRPr="0040775B" w:rsidRDefault="0040775B" w:rsidP="0040775B">
      <w:pPr>
        <w:shd w:val="clear" w:color="auto" w:fill="FFFFFF"/>
        <w:spacing w:after="60" w:line="240" w:lineRule="auto"/>
        <w:ind w:left="90"/>
        <w:rPr>
          <w:rFonts w:cs="Calibri"/>
          <w:b/>
          <w:color w:val="2A2A2A"/>
          <w:sz w:val="20"/>
          <w:szCs w:val="20"/>
        </w:rPr>
      </w:pPr>
      <w:r w:rsidRPr="0040775B">
        <w:rPr>
          <w:rFonts w:cs="Calibri"/>
          <w:b/>
          <w:color w:val="2A2A2A"/>
          <w:sz w:val="20"/>
          <w:szCs w:val="20"/>
        </w:rPr>
        <w:t>Sources:</w:t>
      </w:r>
    </w:p>
    <w:p w14:paraId="2EE35CF7" w14:textId="77777777" w:rsidR="006C5D83" w:rsidRPr="0040775B" w:rsidRDefault="006C5D83" w:rsidP="0040775B">
      <w:pPr>
        <w:shd w:val="clear" w:color="auto" w:fill="FFFFFF"/>
        <w:spacing w:after="60" w:line="240" w:lineRule="auto"/>
        <w:ind w:left="90"/>
        <w:rPr>
          <w:rFonts w:cs="Calibri"/>
          <w:sz w:val="20"/>
          <w:szCs w:val="20"/>
        </w:rPr>
      </w:pPr>
      <w:r w:rsidRPr="0040775B">
        <w:rPr>
          <w:rFonts w:cs="Calibri"/>
          <w:color w:val="2A2A2A"/>
          <w:sz w:val="20"/>
          <w:szCs w:val="20"/>
        </w:rPr>
        <w:t>1</w:t>
      </w:r>
      <w:r w:rsidR="0040775B">
        <w:rPr>
          <w:rFonts w:cs="Calibri"/>
          <w:color w:val="2A2A2A"/>
          <w:sz w:val="20"/>
          <w:szCs w:val="20"/>
        </w:rPr>
        <w:t xml:space="preserve">. </w:t>
      </w:r>
      <w:r w:rsidRPr="0040775B">
        <w:rPr>
          <w:rFonts w:cs="Calibri"/>
          <w:color w:val="2A2A2A"/>
          <w:sz w:val="20"/>
          <w:szCs w:val="20"/>
        </w:rPr>
        <w:t xml:space="preserve">Alberta Heritage Foundation for Medical Research Health Technology Assessment Unit. </w:t>
      </w:r>
      <w:r w:rsidRPr="0040775B">
        <w:rPr>
          <w:rStyle w:val="Emphasis"/>
          <w:rFonts w:cs="Calibri"/>
          <w:color w:val="2A2A2A"/>
          <w:sz w:val="20"/>
          <w:szCs w:val="20"/>
        </w:rPr>
        <w:t>Acupuncture: Evidence from systematic reviews and meta-analyses</w:t>
      </w:r>
      <w:r w:rsidRPr="0040775B">
        <w:rPr>
          <w:rFonts w:cs="Calibri"/>
          <w:color w:val="2A2A2A"/>
          <w:sz w:val="20"/>
          <w:szCs w:val="20"/>
        </w:rPr>
        <w:t xml:space="preserve"> 2002 </w:t>
      </w:r>
      <w:proofErr w:type="spellStart"/>
      <w:r w:rsidRPr="0040775B">
        <w:rPr>
          <w:rFonts w:cs="Calibri"/>
          <w:color w:val="2A2A2A"/>
          <w:sz w:val="20"/>
          <w:szCs w:val="20"/>
        </w:rPr>
        <w:t>Mar.Used</w:t>
      </w:r>
      <w:proofErr w:type="spellEnd"/>
      <w:r w:rsidRPr="0040775B">
        <w:rPr>
          <w:rFonts w:cs="Calibri"/>
          <w:color w:val="2A2A2A"/>
          <w:sz w:val="20"/>
          <w:szCs w:val="20"/>
        </w:rPr>
        <w:t xml:space="preserve"> in glossary of </w:t>
      </w:r>
      <w:r w:rsidRPr="0040775B">
        <w:rPr>
          <w:rFonts w:cs="Calibri"/>
          <w:sz w:val="20"/>
          <w:szCs w:val="20"/>
          <w:lang w:val="en"/>
        </w:rPr>
        <w:t xml:space="preserve">"Acupuncture for Osteoarthritis." </w:t>
      </w:r>
      <w:r w:rsidRPr="0040775B">
        <w:rPr>
          <w:rFonts w:cs="Calibri"/>
          <w:i/>
          <w:iCs/>
          <w:sz w:val="20"/>
          <w:szCs w:val="20"/>
          <w:lang w:val="en"/>
        </w:rPr>
        <w:t>Centers for Medicare &amp; Medicaid Services</w:t>
      </w:r>
      <w:r w:rsidRPr="0040775B">
        <w:rPr>
          <w:rFonts w:cs="Calibri"/>
          <w:sz w:val="20"/>
          <w:szCs w:val="20"/>
          <w:lang w:val="en"/>
        </w:rPr>
        <w:t>. Web. 14 Jan. 2012. &lt;http://www.cms.gov/medicare-coverage database/details/technology-assessments-details.aspx?TAId=19&gt;.</w:t>
      </w:r>
    </w:p>
    <w:p w14:paraId="6372326A" w14:textId="77777777" w:rsidR="006C5D83" w:rsidRPr="0040775B" w:rsidRDefault="006C5D83" w:rsidP="0040775B">
      <w:pPr>
        <w:shd w:val="clear" w:color="auto" w:fill="FFFFFF"/>
        <w:spacing w:after="60" w:line="240" w:lineRule="auto"/>
        <w:ind w:left="90"/>
        <w:rPr>
          <w:rFonts w:cs="Calibri"/>
          <w:color w:val="000000"/>
          <w:sz w:val="20"/>
          <w:szCs w:val="20"/>
          <w:lang w:val="en"/>
        </w:rPr>
      </w:pPr>
      <w:r w:rsidRPr="0040775B">
        <w:rPr>
          <w:rFonts w:cs="Calibri"/>
          <w:color w:val="2A2A2A"/>
          <w:sz w:val="20"/>
          <w:szCs w:val="20"/>
        </w:rPr>
        <w:t>2</w:t>
      </w:r>
      <w:r w:rsidR="0040775B">
        <w:rPr>
          <w:rFonts w:cs="Calibri"/>
          <w:color w:val="2A2A2A"/>
          <w:sz w:val="20"/>
          <w:szCs w:val="20"/>
        </w:rPr>
        <w:t xml:space="preserve">. </w:t>
      </w:r>
      <w:r w:rsidRPr="0040775B">
        <w:rPr>
          <w:rFonts w:cs="Calibri"/>
          <w:color w:val="000000"/>
          <w:sz w:val="20"/>
          <w:szCs w:val="20"/>
          <w:lang w:val="en"/>
        </w:rPr>
        <w:t xml:space="preserve">"Governance: AAAOM Position Paper on Dry Needling." </w:t>
      </w:r>
      <w:r w:rsidRPr="0040775B">
        <w:rPr>
          <w:rFonts w:cs="Calibri"/>
          <w:i/>
          <w:iCs/>
          <w:color w:val="000000"/>
          <w:sz w:val="20"/>
          <w:szCs w:val="20"/>
          <w:lang w:val="en"/>
        </w:rPr>
        <w:t>AAAOM</w:t>
      </w:r>
      <w:r w:rsidRPr="0040775B">
        <w:rPr>
          <w:rFonts w:cs="Calibri"/>
          <w:color w:val="000000"/>
          <w:sz w:val="20"/>
          <w:szCs w:val="20"/>
          <w:lang w:val="en"/>
        </w:rPr>
        <w:t>. Web. 31 Dec. 2011. &lt;http://www.aaaomonline.org/?page=Governance&gt;.</w:t>
      </w:r>
    </w:p>
    <w:p w14:paraId="2F04FFAD" w14:textId="77777777" w:rsidR="006C5D83" w:rsidRPr="0040775B" w:rsidRDefault="006C5D83" w:rsidP="0040775B">
      <w:pPr>
        <w:spacing w:after="60" w:line="240" w:lineRule="auto"/>
        <w:ind w:left="90"/>
        <w:rPr>
          <w:rFonts w:cs="Calibri"/>
          <w:color w:val="000000"/>
          <w:sz w:val="20"/>
          <w:szCs w:val="20"/>
          <w:lang w:val="en"/>
        </w:rPr>
      </w:pPr>
      <w:r w:rsidRPr="0040775B">
        <w:rPr>
          <w:rFonts w:cs="Calibri"/>
          <w:color w:val="2A2A2A"/>
          <w:sz w:val="20"/>
          <w:szCs w:val="20"/>
        </w:rPr>
        <w:t>3.</w:t>
      </w:r>
      <w:r w:rsidR="0040775B">
        <w:rPr>
          <w:rFonts w:cs="Calibri"/>
          <w:color w:val="000000"/>
          <w:sz w:val="20"/>
          <w:szCs w:val="20"/>
          <w:lang w:val="en"/>
        </w:rPr>
        <w:t xml:space="preserve"> </w:t>
      </w:r>
      <w:r w:rsidRPr="0040775B">
        <w:rPr>
          <w:rFonts w:cs="Calibri"/>
          <w:color w:val="000000"/>
          <w:sz w:val="20"/>
          <w:szCs w:val="20"/>
          <w:lang w:val="en"/>
        </w:rPr>
        <w:t>IBID</w:t>
      </w:r>
    </w:p>
    <w:p w14:paraId="6DD14A4A" w14:textId="77777777" w:rsidR="006C5D83" w:rsidRPr="0040775B" w:rsidRDefault="0040775B" w:rsidP="0040775B">
      <w:pPr>
        <w:shd w:val="clear" w:color="auto" w:fill="FFFFFF"/>
        <w:spacing w:after="60" w:line="240" w:lineRule="auto"/>
        <w:ind w:left="90"/>
        <w:rPr>
          <w:rFonts w:cs="Calibri"/>
          <w:color w:val="000000"/>
          <w:sz w:val="20"/>
          <w:szCs w:val="20"/>
          <w:lang w:val="en"/>
        </w:rPr>
      </w:pPr>
      <w:r>
        <w:rPr>
          <w:rFonts w:eastAsia="Times New Roman" w:cs="Calibri"/>
          <w:color w:val="000000"/>
          <w:sz w:val="20"/>
          <w:szCs w:val="20"/>
          <w:lang w:val="en"/>
        </w:rPr>
        <w:t xml:space="preserve">4. </w:t>
      </w:r>
      <w:r w:rsidR="006C5D83" w:rsidRPr="0040775B">
        <w:rPr>
          <w:rFonts w:cs="Calibri"/>
          <w:color w:val="000000"/>
          <w:sz w:val="20"/>
          <w:szCs w:val="20"/>
          <w:lang w:val="en"/>
        </w:rPr>
        <w:t xml:space="preserve">"Position Paper on Dry Needling | Acupuncture Association of Colorado." </w:t>
      </w:r>
      <w:r w:rsidR="006C5D83" w:rsidRPr="0040775B">
        <w:rPr>
          <w:rFonts w:cs="Calibri"/>
          <w:i/>
          <w:iCs/>
          <w:color w:val="000000"/>
          <w:sz w:val="20"/>
          <w:szCs w:val="20"/>
          <w:lang w:val="en"/>
        </w:rPr>
        <w:t>Acupuncture Association of Colorado | Acupuncture Denver | Find an Acupuncturist</w:t>
      </w:r>
      <w:r w:rsidR="006C5D83" w:rsidRPr="0040775B">
        <w:rPr>
          <w:rFonts w:cs="Calibri"/>
          <w:color w:val="000000"/>
          <w:sz w:val="20"/>
          <w:szCs w:val="20"/>
          <w:lang w:val="en"/>
        </w:rPr>
        <w:t>. Web. 31 Dec. 2011. &lt;http://acucol.com/2011/03/position-paper-on-dry-needling/&gt;.</w:t>
      </w:r>
    </w:p>
    <w:p w14:paraId="111BECCD" w14:textId="77777777" w:rsidR="0040775B" w:rsidRPr="0040775B" w:rsidRDefault="0040775B" w:rsidP="0040775B">
      <w:pPr>
        <w:shd w:val="clear" w:color="auto" w:fill="FFFFFF"/>
        <w:spacing w:after="60" w:line="240" w:lineRule="auto"/>
        <w:ind w:left="90"/>
        <w:rPr>
          <w:rFonts w:cs="Calibri"/>
          <w:color w:val="000000"/>
          <w:sz w:val="20"/>
          <w:szCs w:val="20"/>
          <w:lang w:val="en"/>
        </w:rPr>
      </w:pPr>
      <w:r w:rsidRPr="0040775B">
        <w:rPr>
          <w:rFonts w:cs="Calibri"/>
          <w:color w:val="000000"/>
          <w:sz w:val="20"/>
          <w:szCs w:val="20"/>
          <w:lang w:val="en"/>
        </w:rPr>
        <w:t>5. Shifen Xu, Lizhen Wang, Emily Cooper, et al., “Adverse Events of Acupuncture: A Systematic Review of Case Reports,” Evidence-Based Complementary and Alternative Medicine, vol. 2013, Article ID 581203, 15 pages, 2013. doi:10.1155/2013/581203.</w:t>
      </w:r>
    </w:p>
    <w:p w14:paraId="775827F2" w14:textId="77777777" w:rsidR="0040775B" w:rsidRPr="0040775B" w:rsidRDefault="0040775B" w:rsidP="0040775B">
      <w:pPr>
        <w:spacing w:after="60" w:line="240" w:lineRule="auto"/>
        <w:ind w:left="90"/>
        <w:rPr>
          <w:sz w:val="20"/>
          <w:szCs w:val="20"/>
        </w:rPr>
      </w:pPr>
      <w:r w:rsidRPr="0040775B">
        <w:rPr>
          <w:sz w:val="20"/>
          <w:szCs w:val="20"/>
        </w:rPr>
        <w:t xml:space="preserve">6. Staff, Mayo Clinic. "Definition." </w:t>
      </w:r>
      <w:r w:rsidRPr="0040775B">
        <w:rPr>
          <w:i/>
          <w:iCs/>
          <w:sz w:val="20"/>
          <w:szCs w:val="20"/>
        </w:rPr>
        <w:t>Mayo Clinic</w:t>
      </w:r>
      <w:r w:rsidRPr="0040775B">
        <w:rPr>
          <w:sz w:val="20"/>
          <w:szCs w:val="20"/>
        </w:rPr>
        <w:t>. Mayo Foundation for Medical Education and Research, 25 Jan. 2012. Web. 26 Mar. 2013. &lt;http://www.mayoclinic.com/health/acupuncture/MY00946/METHOD=print&gt;.</w:t>
      </w:r>
    </w:p>
    <w:p w14:paraId="0C0166F4" w14:textId="77777777" w:rsidR="006C5D83" w:rsidRPr="0040775B" w:rsidRDefault="0040775B" w:rsidP="0040775B">
      <w:pPr>
        <w:spacing w:after="60" w:line="240" w:lineRule="auto"/>
        <w:ind w:left="90"/>
        <w:rPr>
          <w:sz w:val="20"/>
          <w:szCs w:val="20"/>
        </w:rPr>
      </w:pPr>
      <w:r w:rsidRPr="0040775B">
        <w:rPr>
          <w:sz w:val="20"/>
          <w:szCs w:val="20"/>
        </w:rPr>
        <w:t xml:space="preserve">7.  "Acupuncture: An Introduction." </w:t>
      </w:r>
      <w:r w:rsidRPr="0040775B">
        <w:rPr>
          <w:i/>
          <w:iCs/>
          <w:sz w:val="20"/>
          <w:szCs w:val="20"/>
        </w:rPr>
        <w:t>Home Page</w:t>
      </w:r>
      <w:r w:rsidRPr="0040775B">
        <w:rPr>
          <w:sz w:val="20"/>
          <w:szCs w:val="20"/>
        </w:rPr>
        <w:t xml:space="preserve">. National Center for Complementary and Alternative Medicine, </w:t>
      </w:r>
      <w:proofErr w:type="spellStart"/>
      <w:r w:rsidRPr="0040775B">
        <w:rPr>
          <w:sz w:val="20"/>
          <w:szCs w:val="20"/>
        </w:rPr>
        <w:t>n.d.</w:t>
      </w:r>
      <w:proofErr w:type="spellEnd"/>
      <w:r w:rsidRPr="0040775B">
        <w:rPr>
          <w:sz w:val="20"/>
          <w:szCs w:val="20"/>
        </w:rPr>
        <w:t xml:space="preserve"> Web. 26 Mar. 2013. &lt;http://nccam.nih.gov/health/acupuncture/introduction.htm&gt;.</w:t>
      </w:r>
    </w:p>
    <w:p w14:paraId="2CD751D1" w14:textId="77777777" w:rsidR="006C5D83" w:rsidRPr="0040775B" w:rsidRDefault="0040775B" w:rsidP="0040775B">
      <w:pPr>
        <w:spacing w:after="60" w:line="240" w:lineRule="auto"/>
        <w:ind w:left="90"/>
        <w:rPr>
          <w:rFonts w:cs="Calibri"/>
          <w:sz w:val="20"/>
          <w:szCs w:val="20"/>
        </w:rPr>
      </w:pPr>
      <w:r w:rsidRPr="0040775B">
        <w:rPr>
          <w:rFonts w:cs="Calibri"/>
          <w:sz w:val="20"/>
          <w:szCs w:val="20"/>
        </w:rPr>
        <w:t>8</w:t>
      </w:r>
      <w:r w:rsidR="006C5D83" w:rsidRPr="0040775B">
        <w:rPr>
          <w:rFonts w:cs="Calibri"/>
          <w:sz w:val="20"/>
          <w:szCs w:val="20"/>
        </w:rPr>
        <w:t xml:space="preserve">. </w:t>
      </w:r>
      <w:r w:rsidR="006C5D83" w:rsidRPr="0040775B">
        <w:rPr>
          <w:rFonts w:cs="Calibri"/>
          <w:sz w:val="20"/>
          <w:szCs w:val="20"/>
          <w:lang w:val="en"/>
        </w:rPr>
        <w:t>"Acupuncture: Review and Analysis of Reports on Controlled Clinical Trials: 1. General Considerations: 1.4. Safety." Web. 30 Dec. 2011. &lt;http://apps.who.int/medicinedocs/en/d/Js4926e/3.4.html#Js4926e.3.4&gt;.</w:t>
      </w:r>
    </w:p>
    <w:p w14:paraId="5B6A9B16" w14:textId="77777777" w:rsidR="006C5D83" w:rsidRPr="006C5D83" w:rsidRDefault="006C5D83" w:rsidP="006C5D83">
      <w:pPr>
        <w:autoSpaceDE w:val="0"/>
        <w:autoSpaceDN w:val="0"/>
        <w:adjustRightInd w:val="0"/>
        <w:spacing w:after="120" w:line="240" w:lineRule="auto"/>
        <w:rPr>
          <w:rFonts w:eastAsia="MinionPro-Regular" w:cs="MinionPro-Regular"/>
          <w:sz w:val="18"/>
          <w:szCs w:val="18"/>
        </w:rPr>
      </w:pPr>
    </w:p>
    <w:p w14:paraId="23CC84DE" w14:textId="77777777" w:rsidR="00B417BC" w:rsidRPr="00B417BC" w:rsidRDefault="00B417BC" w:rsidP="00B417BC">
      <w:pPr>
        <w:autoSpaceDE w:val="0"/>
        <w:autoSpaceDN w:val="0"/>
        <w:adjustRightInd w:val="0"/>
        <w:spacing w:after="120" w:line="240" w:lineRule="auto"/>
        <w:rPr>
          <w:rFonts w:eastAsia="MinionPro-Regular" w:cs="MinionPro-Regular"/>
          <w:vertAlign w:val="superscript"/>
        </w:rPr>
      </w:pPr>
    </w:p>
    <w:sectPr w:rsidR="00B417BC" w:rsidRPr="00B417BC" w:rsidSect="00C33D57">
      <w:pgSz w:w="12240" w:h="15840"/>
      <w:pgMar w:top="288"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isel">
    <w:altName w:val="Geneva"/>
    <w:charset w:val="00"/>
    <w:family w:val="swiss"/>
    <w:pitch w:val="variable"/>
    <w:sig w:usb0="00000003" w:usb1="00000000" w:usb2="00000000" w:usb3="00000000" w:csb0="00000001"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976"/>
    <w:multiLevelType w:val="hybridMultilevel"/>
    <w:tmpl w:val="F162BE0C"/>
    <w:lvl w:ilvl="0" w:tplc="0B94AD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8201F"/>
    <w:multiLevelType w:val="hybridMultilevel"/>
    <w:tmpl w:val="FC76E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04614"/>
    <w:multiLevelType w:val="hybridMultilevel"/>
    <w:tmpl w:val="3FD084B0"/>
    <w:lvl w:ilvl="0" w:tplc="0B94AD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057C8E"/>
    <w:multiLevelType w:val="hybridMultilevel"/>
    <w:tmpl w:val="60B2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9F59A6"/>
    <w:multiLevelType w:val="hybridMultilevel"/>
    <w:tmpl w:val="843C511C"/>
    <w:lvl w:ilvl="0" w:tplc="0B94AD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80"/>
    <w:rsid w:val="000C5CF4"/>
    <w:rsid w:val="00186E92"/>
    <w:rsid w:val="002971B6"/>
    <w:rsid w:val="00386098"/>
    <w:rsid w:val="0040775B"/>
    <w:rsid w:val="00431FE6"/>
    <w:rsid w:val="004342BA"/>
    <w:rsid w:val="00447383"/>
    <w:rsid w:val="005D7D86"/>
    <w:rsid w:val="00694F80"/>
    <w:rsid w:val="006C5D83"/>
    <w:rsid w:val="00907629"/>
    <w:rsid w:val="009C03EC"/>
    <w:rsid w:val="00B417BC"/>
    <w:rsid w:val="00C01FFC"/>
    <w:rsid w:val="00C33D57"/>
    <w:rsid w:val="00C67F36"/>
    <w:rsid w:val="00D73911"/>
    <w:rsid w:val="00F5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4B"/>
    <w:rPr>
      <w:rFonts w:ascii="Tahoma" w:hAnsi="Tahoma" w:cs="Tahoma"/>
      <w:sz w:val="16"/>
      <w:szCs w:val="16"/>
    </w:rPr>
  </w:style>
  <w:style w:type="character" w:styleId="Hyperlink">
    <w:name w:val="Hyperlink"/>
    <w:basedOn w:val="DefaultParagraphFont"/>
    <w:uiPriority w:val="99"/>
    <w:unhideWhenUsed/>
    <w:rsid w:val="005D7D86"/>
    <w:rPr>
      <w:color w:val="0000FF" w:themeColor="hyperlink"/>
      <w:u w:val="single"/>
    </w:rPr>
  </w:style>
  <w:style w:type="paragraph" w:styleId="ListParagraph">
    <w:name w:val="List Paragraph"/>
    <w:basedOn w:val="Normal"/>
    <w:uiPriority w:val="34"/>
    <w:qFormat/>
    <w:rsid w:val="00C67F36"/>
    <w:pPr>
      <w:ind w:left="720"/>
      <w:contextualSpacing/>
    </w:pPr>
  </w:style>
  <w:style w:type="paragraph" w:styleId="NoSpacing">
    <w:name w:val="No Spacing"/>
    <w:uiPriority w:val="1"/>
    <w:qFormat/>
    <w:rsid w:val="002971B6"/>
    <w:pPr>
      <w:spacing w:after="0" w:line="240" w:lineRule="auto"/>
    </w:pPr>
    <w:rPr>
      <w:rFonts w:ascii="Times" w:eastAsia="Times" w:hAnsi="Times" w:cs="Times New Roman"/>
      <w:sz w:val="24"/>
      <w:szCs w:val="20"/>
    </w:rPr>
  </w:style>
  <w:style w:type="character" w:styleId="Emphasis">
    <w:name w:val="Emphasis"/>
    <w:basedOn w:val="DefaultParagraphFont"/>
    <w:uiPriority w:val="20"/>
    <w:qFormat/>
    <w:rsid w:val="006C5D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4B"/>
    <w:rPr>
      <w:rFonts w:ascii="Tahoma" w:hAnsi="Tahoma" w:cs="Tahoma"/>
      <w:sz w:val="16"/>
      <w:szCs w:val="16"/>
    </w:rPr>
  </w:style>
  <w:style w:type="character" w:styleId="Hyperlink">
    <w:name w:val="Hyperlink"/>
    <w:basedOn w:val="DefaultParagraphFont"/>
    <w:uiPriority w:val="99"/>
    <w:unhideWhenUsed/>
    <w:rsid w:val="005D7D86"/>
    <w:rPr>
      <w:color w:val="0000FF" w:themeColor="hyperlink"/>
      <w:u w:val="single"/>
    </w:rPr>
  </w:style>
  <w:style w:type="paragraph" w:styleId="ListParagraph">
    <w:name w:val="List Paragraph"/>
    <w:basedOn w:val="Normal"/>
    <w:uiPriority w:val="34"/>
    <w:qFormat/>
    <w:rsid w:val="00C67F36"/>
    <w:pPr>
      <w:ind w:left="720"/>
      <w:contextualSpacing/>
    </w:pPr>
  </w:style>
  <w:style w:type="paragraph" w:styleId="NoSpacing">
    <w:name w:val="No Spacing"/>
    <w:uiPriority w:val="1"/>
    <w:qFormat/>
    <w:rsid w:val="002971B6"/>
    <w:pPr>
      <w:spacing w:after="0" w:line="240" w:lineRule="auto"/>
    </w:pPr>
    <w:rPr>
      <w:rFonts w:ascii="Times" w:eastAsia="Times" w:hAnsi="Times" w:cs="Times New Roman"/>
      <w:sz w:val="24"/>
      <w:szCs w:val="20"/>
    </w:rPr>
  </w:style>
  <w:style w:type="character" w:styleId="Emphasis">
    <w:name w:val="Emphasis"/>
    <w:basedOn w:val="DefaultParagraphFont"/>
    <w:uiPriority w:val="20"/>
    <w:qFormat/>
    <w:rsid w:val="006C5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 trew</dc:creator>
  <cp:lastModifiedBy>Elizabeth Cox</cp:lastModifiedBy>
  <cp:revision>2</cp:revision>
  <dcterms:created xsi:type="dcterms:W3CDTF">2013-04-03T14:53:00Z</dcterms:created>
  <dcterms:modified xsi:type="dcterms:W3CDTF">2013-04-03T14:53:00Z</dcterms:modified>
</cp:coreProperties>
</file>